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Lato medium" w:hAnsi="Lato medium"/>
          <w:sz w:val="40"/>
          <w:szCs w:val="40"/>
        </w:rPr>
      </w:pPr>
      <w:r>
        <w:rPr>
          <w:rFonts w:ascii="Lato medium" w:hAnsi="Lato medium"/>
          <w:sz w:val="40"/>
          <w:szCs w:val="40"/>
        </w:rPr>
        <w:t>8. Stanovništvo Europe</w:t>
      </w:r>
    </w:p>
    <w:p>
      <w:pPr>
        <w:pStyle w:val="Normal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  <w:t xml:space="preserve">Prirodno kretanje stanovništva </w:t>
      </w:r>
    </w:p>
    <w:p>
      <w:pPr>
        <w:pStyle w:val="Normal"/>
        <w:numPr>
          <w:ilvl w:val="0"/>
          <w:numId w:val="1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>Prirodno kretanje čine rodnost i smrtnost.</w:t>
      </w:r>
    </w:p>
    <w:p>
      <w:pPr>
        <w:pStyle w:val="Normal"/>
        <w:numPr>
          <w:ilvl w:val="0"/>
          <w:numId w:val="1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U Europi je u drugoj polovici 20. stoljeća zbog planiranja obitelji smanjena rodnost, a zbog sve većeg udjela starog stanovništva porasla je smrtnost stanovništva. </w:t>
      </w:r>
    </w:p>
    <w:p>
      <w:pPr>
        <w:pStyle w:val="Normal"/>
        <w:numPr>
          <w:ilvl w:val="0"/>
          <w:numId w:val="1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Odnos rađanja i umiranja rezultira niskim prirodnim prirastom i vrlo malim porastom ukupnog broja stanovnika. </w:t>
      </w:r>
    </w:p>
    <w:p>
      <w:pPr>
        <w:pStyle w:val="Normal"/>
        <w:numPr>
          <w:ilvl w:val="0"/>
          <w:numId w:val="1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>Mnoge europske države su se potkraj 20. stoljeća suočile s prirodnim padom broja stanovnika.</w:t>
      </w:r>
    </w:p>
    <w:p>
      <w:pPr>
        <w:pStyle w:val="Normal"/>
        <w:numPr>
          <w:ilvl w:val="0"/>
          <w:numId w:val="1"/>
        </w:numPr>
        <w:spacing w:before="0" w:after="86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Skup mjera kojima država utječe na demografsku sliku naziva se populacijska politika. </w:t>
      </w:r>
    </w:p>
    <w:p>
      <w:pPr>
        <w:pStyle w:val="Normal"/>
        <w:spacing w:before="0" w:after="86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p>
      <w:pPr>
        <w:pStyle w:val="Normal"/>
        <w:spacing w:before="0" w:after="86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  <w:t xml:space="preserve">Biološka struktura stanovništva </w:t>
      </w:r>
    </w:p>
    <w:p>
      <w:pPr>
        <w:pStyle w:val="Normal"/>
        <w:spacing w:before="0" w:after="86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</w:r>
    </w:p>
    <w:p>
      <w:pPr>
        <w:pStyle w:val="Normal"/>
        <w:numPr>
          <w:ilvl w:val="0"/>
          <w:numId w:val="2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Na sastav stanovništva prema spolu i dobi utječu prirodno kretanje, ratovi, epidemije, migracije, populacijska politika, stanje u gospodarstvu i način života. </w:t>
      </w:r>
    </w:p>
    <w:p>
      <w:pPr>
        <w:pStyle w:val="Normal"/>
        <w:numPr>
          <w:ilvl w:val="0"/>
          <w:numId w:val="2"/>
        </w:numPr>
        <w:spacing w:before="0" w:after="86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>Sredinom osamdesetih godina Europa je ušla u etapu demografskog starenja pa je briga o starim osobama glavni problem europske današnjice.</w:t>
      </w:r>
    </w:p>
    <w:p>
      <w:pPr>
        <w:pStyle w:val="Normal"/>
        <w:spacing w:before="0" w:after="86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p>
      <w:pPr>
        <w:pStyle w:val="Normal"/>
        <w:spacing w:before="0" w:after="86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  <w:t xml:space="preserve">Gospodarska struktura stanovništva </w:t>
      </w:r>
    </w:p>
    <w:p>
      <w:pPr>
        <w:pStyle w:val="Normal"/>
        <w:spacing w:before="0" w:after="86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</w:r>
    </w:p>
    <w:p>
      <w:pPr>
        <w:pStyle w:val="Normal"/>
        <w:numPr>
          <w:ilvl w:val="0"/>
          <w:numId w:val="3"/>
        </w:numPr>
        <w:spacing w:before="0" w:after="86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Gospodarski sastav stanovništva analiziramo s pomoću postotnog udjela zaposlenih po sektorima. </w:t>
      </w:r>
    </w:p>
    <w:p>
      <w:pPr>
        <w:pStyle w:val="Normal"/>
        <w:numPr>
          <w:ilvl w:val="0"/>
          <w:numId w:val="3"/>
        </w:numPr>
        <w:spacing w:before="0" w:after="86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Na zapadu i sjeveru Europe više od 70 posto stanovništva zaposleno je u tercijarnom sektoru, oko 25 posto u sekundarnom, a u primarnom manje od 5 posto stanovništva. </w:t>
      </w:r>
    </w:p>
    <w:p>
      <w:pPr>
        <w:pStyle w:val="Normal"/>
        <w:numPr>
          <w:ilvl w:val="0"/>
          <w:numId w:val="3"/>
        </w:numPr>
        <w:spacing w:before="0" w:after="86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>Države na istoku i jugoistoku Europe imaju veći udio stanovništva u sekundarnom i primarnom sektoru.</w:t>
      </w:r>
    </w:p>
    <w:p>
      <w:pPr>
        <w:pStyle w:val="Normal"/>
        <w:spacing w:before="0" w:after="86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p>
      <w:pPr>
        <w:pStyle w:val="Normal"/>
        <w:spacing w:before="0" w:after="86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  <w:t xml:space="preserve">Etnički, jezični i vjerski mozaik </w:t>
      </w:r>
    </w:p>
    <w:p>
      <w:pPr>
        <w:pStyle w:val="Normal"/>
        <w:spacing w:before="0" w:after="86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</w:r>
    </w:p>
    <w:p>
      <w:pPr>
        <w:pStyle w:val="Normal"/>
        <w:numPr>
          <w:ilvl w:val="0"/>
          <w:numId w:val="4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U Europi se govori više od 120 jezika. </w:t>
      </w:r>
    </w:p>
    <w:p>
      <w:pPr>
        <w:pStyle w:val="Normal"/>
        <w:numPr>
          <w:ilvl w:val="0"/>
          <w:numId w:val="4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Prevladavaju indoeuropski jezici unutar kojih se izdvajaju germanska, romanska, slavenska, keltska i skupina ostalih indoeuropskih jezika. </w:t>
      </w:r>
    </w:p>
    <w:p>
      <w:pPr>
        <w:pStyle w:val="Normal"/>
        <w:numPr>
          <w:ilvl w:val="0"/>
          <w:numId w:val="4"/>
        </w:numPr>
        <w:spacing w:before="0" w:after="86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>Germanski narodi naseljavaju zapadne i sjeverne dijelove Europe, romanski pretežno južne dijelove, a slavenski istočne i jugoistočne dijelove Europe.</w:t>
      </w:r>
    </w:p>
    <w:sectPr>
      <w:headerReference w:type="default" r:id="rId2"/>
      <w:type w:val="nextPage"/>
      <w:pgSz w:w="11906" w:h="16838"/>
      <w:pgMar w:left="1417" w:right="1417" w:header="17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swiss"/>
    <w:pitch w:val="variable"/>
  </w:font>
  <w:font w:name="Lato medium">
    <w:charset w:val="01"/>
    <w:family w:val="auto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aglavlje"/>
      <w:rPr/>
    </w:pPr>
    <w:r>
      <w:rPr/>
      <w:drawing>
        <wp:inline distT="0" distB="0" distL="0" distR="0">
          <wp:extent cx="5760720" cy="542925"/>
          <wp:effectExtent l="0" t="0" r="0" b="0"/>
          <wp:docPr id="1" name="Picture 1" descr="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ppt-header-GEA-3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11"/>
  <w:defaultTabStop w:val="708"/>
  <w:autoHyphenation w:val="true"/>
  <w:compat>
    <w:compatSetting w:name="compatibilityMode" w:uri="http://schemas.microsoft.com/office/word" w:val="12"/>
  </w:compat>
  <w:hyphenationZone w:val="425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f0cb2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70595b"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  <w:semiHidden/>
    <w:qFormat/>
    <w:rsid w:val="0070595b"/>
    <w:rPr/>
  </w:style>
  <w:style w:type="character" w:styleId="FooterChar" w:customStyle="1">
    <w:name w:val="Footer Char"/>
    <w:basedOn w:val="DefaultParagraphFont"/>
    <w:link w:val="Footer"/>
    <w:uiPriority w:val="99"/>
    <w:semiHidden/>
    <w:qFormat/>
    <w:rsid w:val="0070595b"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0595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Zaglavljeipodnoje">
    <w:name w:val="Zaglavlje i podnožje"/>
    <w:basedOn w:val="Normal"/>
    <w:qFormat/>
    <w:pPr/>
    <w:rPr/>
  </w:style>
  <w:style w:type="paragraph" w:styleId="Zaglavlje">
    <w:name w:val="Header"/>
    <w:basedOn w:val="Normal"/>
    <w:link w:val="HeaderChar"/>
    <w:uiPriority w:val="99"/>
    <w:semiHidden/>
    <w:unhideWhenUsed/>
    <w:rsid w:val="0070595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odnoje">
    <w:name w:val="Footer"/>
    <w:basedOn w:val="Normal"/>
    <w:link w:val="FooterChar"/>
    <w:uiPriority w:val="99"/>
    <w:semiHidden/>
    <w:unhideWhenUsed/>
    <w:rsid w:val="0070595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LibreOffice/7.0.1.2$Windows_X86_64 LibreOffice_project/7cbcfc562f6eb6708b5ff7d7397325de9e764452</Application>
  <Pages>2</Pages>
  <Words>239</Words>
  <Characters>1425</Characters>
  <CharactersWithSpaces>1645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2021-07-27T11:55:00Z</dcterms:created>
  <dc:creator>sbakar</dc:creator>
  <dc:description/>
  <dc:language>hr-HR</dc:language>
  <cp:lastModifiedBy/>
  <dcterms:modified xsi:type="dcterms:W3CDTF">2021-08-05T12:19:12Z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